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val="en-US"/>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E90BC1" w:rsidP="00E90BC1">
            <w:pPr>
              <w:spacing w:before="0" w:line="240" w:lineRule="atLeast"/>
              <w:rPr>
                <w:rFonts w:ascii="Verdana" w:hAnsi="Verdana"/>
                <w:sz w:val="20"/>
              </w:rPr>
            </w:pPr>
            <w:r>
              <w:rPr>
                <w:rFonts w:ascii="Verdana" w:hAnsi="Verdana"/>
                <w:sz w:val="20"/>
              </w:rPr>
              <w:t>CPG15(15)084 Annex V-22j</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E90BC1" w:rsidRDefault="00E55816" w:rsidP="00AA666F">
            <w:pPr>
              <w:tabs>
                <w:tab w:val="left" w:pos="851"/>
              </w:tabs>
              <w:spacing w:before="0" w:line="240" w:lineRule="atLeast"/>
              <w:rPr>
                <w:rFonts w:ascii="Verdana" w:hAnsi="Verdana"/>
                <w:b/>
                <w:sz w:val="20"/>
              </w:rPr>
            </w:pPr>
            <w:r>
              <w:rPr>
                <w:rFonts w:ascii="Verdana" w:hAnsi="Verdana"/>
                <w:b/>
                <w:sz w:val="20"/>
              </w:rPr>
              <w:t>Addendum 10 to</w:t>
            </w:r>
          </w:p>
          <w:p w:rsidR="00A066F1" w:rsidRPr="00841216" w:rsidRDefault="00E90BC1" w:rsidP="00AA666F">
            <w:pPr>
              <w:tabs>
                <w:tab w:val="left" w:pos="851"/>
              </w:tabs>
              <w:spacing w:before="0" w:line="240" w:lineRule="atLeast"/>
              <w:rPr>
                <w:rFonts w:ascii="Verdana" w:hAnsi="Verdana"/>
                <w:sz w:val="20"/>
              </w:rPr>
            </w:pPr>
            <w:r>
              <w:rPr>
                <w:rFonts w:ascii="Verdana" w:hAnsi="Verdana"/>
                <w:b/>
                <w:sz w:val="20"/>
              </w:rPr>
              <w:t>Addendum 21</w:t>
            </w:r>
            <w:r>
              <w:rPr>
                <w:rFonts w:ascii="Verdana" w:hAnsi="Verdana"/>
                <w:b/>
                <w:sz w:val="20"/>
              </w:rPr>
              <w:br/>
              <w:t>Document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E90BC1" w:rsidP="00A066F1">
            <w:pPr>
              <w:tabs>
                <w:tab w:val="left" w:pos="993"/>
              </w:tabs>
              <w:spacing w:before="0"/>
              <w:rPr>
                <w:rFonts w:ascii="Verdana" w:hAnsi="Verdana"/>
                <w:sz w:val="20"/>
              </w:rPr>
            </w:pPr>
            <w:r>
              <w:rPr>
                <w:rFonts w:ascii="Verdana" w:hAnsi="Verdana"/>
                <w:b/>
                <w:sz w:val="20"/>
              </w:rPr>
              <w:t>18</w:t>
            </w:r>
            <w:r w:rsidR="00420873" w:rsidRPr="00841216">
              <w:rPr>
                <w:rFonts w:ascii="Verdana" w:hAnsi="Verdana"/>
                <w:b/>
                <w:sz w:val="20"/>
              </w:rPr>
              <w:t xml:space="preserve"> 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90BC1" w:rsidP="00E55816">
            <w:pPr>
              <w:pStyle w:val="Title2"/>
            </w:pPr>
            <w:r>
              <w:t>Part 21</w:t>
            </w: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Agenda item 7(J)</w:t>
            </w:r>
          </w:p>
        </w:tc>
      </w:tr>
    </w:tbl>
    <w:bookmarkEnd w:id="6"/>
    <w:bookmarkEnd w:id="7"/>
    <w:p w:rsidR="00B02325" w:rsidRPr="000002F2" w:rsidRDefault="00E90BC1" w:rsidP="001C7D70">
      <w:pPr>
        <w:overflowPunct/>
        <w:autoSpaceDE/>
        <w:autoSpaceDN/>
        <w:adjustRightInd/>
        <w:textAlignment w:val="auto"/>
      </w:pPr>
      <w:r w:rsidRPr="009A2B70">
        <w:t>7</w:t>
      </w:r>
      <w:r w:rsidRPr="009A2B70">
        <w:tab/>
        <w:t xml:space="preserve">to consider possible changes, and other options, in response to Resolution 86 (Rev. Marrakesh, 2002) of the Plenipotentiary Conference, an advance publication, coordination, notification and recording procedures for frequency assignments pertaining to satellite networks, in accordance with Resolution </w:t>
      </w:r>
      <w:r w:rsidRPr="009A2B70">
        <w:rPr>
          <w:b/>
          <w:bCs/>
        </w:rPr>
        <w:t>86 (Rev.WRC</w:t>
      </w:r>
      <w:r w:rsidRPr="009A2B70">
        <w:rPr>
          <w:b/>
          <w:bCs/>
        </w:rPr>
        <w:noBreakHyphen/>
        <w:t>07)</w:t>
      </w:r>
      <w:r w:rsidRPr="009A2B70">
        <w:t xml:space="preserve"> to facilitate rational, efficient, and economical use of radio frequencies and any associated orbits, including the geostationary</w:t>
      </w:r>
      <w:r w:rsidRPr="009A2B70">
        <w:noBreakHyphen/>
        <w:t>satellite orbit;</w:t>
      </w:r>
    </w:p>
    <w:p w:rsidR="00B02325" w:rsidRPr="000002F2" w:rsidRDefault="00E90BC1" w:rsidP="00CC6941">
      <w:r>
        <w:t xml:space="preserve">7(J) </w:t>
      </w:r>
      <w:r>
        <w:tab/>
      </w:r>
      <w:r w:rsidRPr="00F04A58">
        <w:t>Issue J – Removal of the link between the date of receipt of the notification information and the date of bringing into use in RR No. </w:t>
      </w:r>
      <w:r w:rsidRPr="00CC6941">
        <w:rPr>
          <w:b/>
          <w:bCs/>
        </w:rPr>
        <w:t>11.44B</w:t>
      </w:r>
    </w:p>
    <w:p w:rsidR="00E90BC1" w:rsidRPr="00FF5A15" w:rsidRDefault="00E90BC1" w:rsidP="00E90BC1">
      <w:pPr>
        <w:pStyle w:val="headingb0"/>
        <w:rPr>
          <w:i/>
          <w:iCs/>
          <w:lang w:val="en-US"/>
        </w:rPr>
      </w:pPr>
      <w:r w:rsidRPr="00FF5A15">
        <w:rPr>
          <w:lang w:val="en-US"/>
        </w:rPr>
        <w:t>Introduction</w:t>
      </w:r>
    </w:p>
    <w:p w:rsidR="00E90BC1" w:rsidRDefault="00E90BC1" w:rsidP="00E90BC1">
      <w:pPr>
        <w:rPr>
          <w:rFonts w:eastAsia="Calibri"/>
        </w:rPr>
      </w:pPr>
      <w:r w:rsidRPr="00FF5A15">
        <w:t xml:space="preserve">In No. </w:t>
      </w:r>
      <w:r w:rsidRPr="00E90BC1">
        <w:rPr>
          <w:b/>
        </w:rPr>
        <w:t>11.44B</w:t>
      </w:r>
      <w:r>
        <w:t xml:space="preserve"> of the Radio Regulations</w:t>
      </w:r>
      <w:r w:rsidRPr="00FF5A15">
        <w:t>, WRC-12 defined a ninety-day bringing into use period for a frequency assignment to a space station in the geostationary-satellite orbit and</w:t>
      </w:r>
      <w:r w:rsidRPr="00FF5A15">
        <w:rPr>
          <w:rFonts w:eastAsia="Calibri"/>
        </w:rPr>
        <w:t xml:space="preserve"> introduced a requirement to inform the Bureau of the completion of that period within </w:t>
      </w:r>
      <w:r>
        <w:rPr>
          <w:rFonts w:eastAsia="Calibri"/>
        </w:rPr>
        <w:t>thirty</w:t>
      </w:r>
      <w:r w:rsidRPr="00FF5A15">
        <w:rPr>
          <w:rFonts w:eastAsia="Calibri"/>
        </w:rPr>
        <w:t xml:space="preserve"> days of the end of the period. </w:t>
      </w:r>
    </w:p>
    <w:p w:rsidR="00E90BC1" w:rsidRDefault="00E90BC1" w:rsidP="00E90BC1">
      <w:r w:rsidRPr="00FF5A15">
        <w:t xml:space="preserve">Following the entry into force of No. </w:t>
      </w:r>
      <w:r w:rsidRPr="00E90BC1">
        <w:rPr>
          <w:b/>
        </w:rPr>
        <w:t>11.44B</w:t>
      </w:r>
      <w:r w:rsidRPr="00FF5A15">
        <w:t xml:space="preserve">, the Bureau indicated that in order to comply with </w:t>
      </w:r>
      <w:r>
        <w:t>this provision</w:t>
      </w:r>
      <w:r w:rsidRPr="00FF5A15">
        <w:t xml:space="preserve"> regarding the confirmation of bringing into use, the date of commencement of the </w:t>
      </w:r>
      <w:r>
        <w:t>ninety-</w:t>
      </w:r>
      <w:r w:rsidRPr="00FF5A15">
        <w:t xml:space="preserve">day period cannot be earlier than </w:t>
      </w:r>
      <w:r>
        <w:t xml:space="preserve">one hundred and twenty </w:t>
      </w:r>
      <w:r w:rsidRPr="00FF5A15">
        <w:t>days before the date of receipt of notification under No. </w:t>
      </w:r>
      <w:r w:rsidRPr="00786E08">
        <w:rPr>
          <w:b/>
          <w:bCs/>
        </w:rPr>
        <w:t>11.15</w:t>
      </w:r>
      <w:r w:rsidRPr="00FF5A15">
        <w:t xml:space="preserve">, § </w:t>
      </w:r>
      <w:r w:rsidRPr="00A62E80">
        <w:t>5.1.3</w:t>
      </w:r>
      <w:r w:rsidRPr="00FF5A15">
        <w:t xml:space="preserve"> of Appendix </w:t>
      </w:r>
      <w:r w:rsidRPr="00786E08">
        <w:rPr>
          <w:b/>
          <w:bCs/>
        </w:rPr>
        <w:t>30</w:t>
      </w:r>
      <w:r w:rsidRPr="00FF5A15">
        <w:t>, § </w:t>
      </w:r>
      <w:r w:rsidRPr="00A62E80">
        <w:t>5.1.7</w:t>
      </w:r>
      <w:r w:rsidRPr="00FF5A15">
        <w:t xml:space="preserve"> of Appendix </w:t>
      </w:r>
      <w:r w:rsidRPr="00786E08">
        <w:rPr>
          <w:b/>
          <w:bCs/>
        </w:rPr>
        <w:t>30A</w:t>
      </w:r>
      <w:r w:rsidRPr="00FF5A15">
        <w:t xml:space="preserve"> </w:t>
      </w:r>
      <w:r>
        <w:t xml:space="preserve">or § </w:t>
      </w:r>
      <w:r w:rsidRPr="00A62E80">
        <w:t>8.1</w:t>
      </w:r>
      <w:r>
        <w:t xml:space="preserve"> of </w:t>
      </w:r>
      <w:r w:rsidRPr="00FF5A15">
        <w:t xml:space="preserve">Appendix </w:t>
      </w:r>
      <w:r w:rsidRPr="00786E08">
        <w:rPr>
          <w:b/>
          <w:bCs/>
        </w:rPr>
        <w:t>30B</w:t>
      </w:r>
      <w:r w:rsidRPr="00FF5A15">
        <w:t xml:space="preserve">. This creates </w:t>
      </w:r>
      <w:r>
        <w:t xml:space="preserve">a </w:t>
      </w:r>
      <w:r w:rsidRPr="00FF5A15">
        <w:t xml:space="preserve">link between the </w:t>
      </w:r>
      <w:r>
        <w:t xml:space="preserve">date </w:t>
      </w:r>
      <w:r w:rsidRPr="00FF5A15">
        <w:t xml:space="preserve">of bringing into use and </w:t>
      </w:r>
      <w:r>
        <w:t xml:space="preserve">the date of receipt of the </w:t>
      </w:r>
      <w:r w:rsidRPr="00FF5A15">
        <w:t>notification</w:t>
      </w:r>
      <w:r>
        <w:t xml:space="preserve"> of a satellite network</w:t>
      </w:r>
      <w:r w:rsidRPr="00FF5A15">
        <w:t>.</w:t>
      </w:r>
      <w:r>
        <w:t xml:space="preserve"> However t</w:t>
      </w:r>
      <w:r w:rsidRPr="00FF5A15">
        <w:t xml:space="preserve">here is a general agreement among administrations that WRC-12 did not explicitly decide to introduce such a link. </w:t>
      </w:r>
    </w:p>
    <w:p w:rsidR="00E90BC1" w:rsidRPr="00FF5A15" w:rsidRDefault="00E90BC1" w:rsidP="00E90BC1">
      <w:r>
        <w:t xml:space="preserve">Europe therefore proposes to </w:t>
      </w:r>
      <w:r w:rsidRPr="003A2880">
        <w:t>clearly remove such an unforeseen link</w:t>
      </w:r>
      <w:r>
        <w:t xml:space="preserve"> by introducing a footnote to No. </w:t>
      </w:r>
      <w:r w:rsidRPr="00E90BC1">
        <w:rPr>
          <w:b/>
        </w:rPr>
        <w:t>11.44B</w:t>
      </w:r>
      <w:r>
        <w:t xml:space="preserve"> so that </w:t>
      </w:r>
      <w:r w:rsidRPr="00FF5A15">
        <w:t xml:space="preserve">any notification </w:t>
      </w:r>
      <w:r>
        <w:t xml:space="preserve">of </w:t>
      </w:r>
      <w:r w:rsidRPr="00FF5A15">
        <w:t xml:space="preserve">a frequency assignment to a space station in the geostationary-satellite orbit received with a date of bringing into use more than </w:t>
      </w:r>
      <w:r>
        <w:t xml:space="preserve">one hundred and twenty </w:t>
      </w:r>
      <w:r w:rsidRPr="00FF5A15">
        <w:t xml:space="preserve">days prior to the date of receipt of this </w:t>
      </w:r>
      <w:r>
        <w:t xml:space="preserve">notification </w:t>
      </w:r>
      <w:r w:rsidRPr="00FF5A15">
        <w:t xml:space="preserve">shall be considered </w:t>
      </w:r>
      <w:r>
        <w:t xml:space="preserve">as </w:t>
      </w:r>
      <w:r w:rsidRPr="00FF5A15">
        <w:t xml:space="preserve">brought into use </w:t>
      </w:r>
      <w:r>
        <w:t xml:space="preserve">provided that </w:t>
      </w:r>
      <w:r w:rsidRPr="00FF5A15">
        <w:t xml:space="preserve">the notifying administration confirms, </w:t>
      </w:r>
      <w:r>
        <w:t xml:space="preserve">together </w:t>
      </w:r>
      <w:r w:rsidRPr="00FF5A15">
        <w:t xml:space="preserve">with the submission of the notification information, that a space station in the geostationary-satellite orbit has been deployed and maintained at the notified orbital position for a continuous period from the date of bringing into use </w:t>
      </w:r>
      <w:r w:rsidRPr="00FF5A15">
        <w:lastRenderedPageBreak/>
        <w:t>indicated in the notice to the date of receipt of this notice.</w:t>
      </w:r>
      <w:r>
        <w:t xml:space="preserve"> </w:t>
      </w:r>
      <w:r w:rsidRPr="00FF5A15">
        <w:t xml:space="preserve">In any other cases, No. </w:t>
      </w:r>
      <w:r w:rsidRPr="00E90BC1">
        <w:rPr>
          <w:b/>
        </w:rPr>
        <w:t>11.44B</w:t>
      </w:r>
      <w:r w:rsidRPr="00FF5A15">
        <w:t xml:space="preserve"> </w:t>
      </w:r>
      <w:r>
        <w:t xml:space="preserve">will continue to </w:t>
      </w:r>
      <w:r w:rsidRPr="00FF5A15">
        <w:t>appl</w:t>
      </w:r>
      <w:r>
        <w:t>y</w:t>
      </w:r>
      <w:r w:rsidRPr="00FF5A15">
        <w:t xml:space="preserve"> as </w:t>
      </w:r>
      <w:r>
        <w:t>currently</w:t>
      </w:r>
      <w:r w:rsidRPr="00FF5A15">
        <w:t>.</w:t>
      </w:r>
    </w:p>
    <w:p w:rsidR="00E90BC1" w:rsidRPr="00FF5A15" w:rsidRDefault="00E90BC1" w:rsidP="00E90BC1">
      <w:pPr>
        <w:rPr>
          <w:b/>
          <w:bCs/>
          <w:lang w:val="en-US"/>
        </w:rPr>
      </w:pPr>
      <w:r w:rsidRPr="00F559C9">
        <w:t xml:space="preserve">These European Proposals correspond to Method </w:t>
      </w:r>
      <w:r>
        <w:t xml:space="preserve">J1 </w:t>
      </w:r>
      <w:r w:rsidRPr="00F559C9">
        <w:t xml:space="preserve">of the CPM Report. </w:t>
      </w:r>
    </w:p>
    <w:p w:rsidR="009B463A" w:rsidRPr="00667882" w:rsidRDefault="00E90BC1" w:rsidP="00FB3369">
      <w:pPr>
        <w:pStyle w:val="ArtNo"/>
      </w:pPr>
      <w:bookmarkStart w:id="8" w:name="_Toc327956595"/>
      <w:r w:rsidRPr="00FB3369">
        <w:t>ARTICLE</w:t>
      </w:r>
      <w:r w:rsidRPr="00D41CE2">
        <w:t xml:space="preserve"> </w:t>
      </w:r>
      <w:r w:rsidRPr="00667882">
        <w:rPr>
          <w:rStyle w:val="href"/>
          <w:noProof/>
          <w:lang w:val="en-CA"/>
        </w:rPr>
        <w:t>11</w:t>
      </w:r>
      <w:bookmarkEnd w:id="8"/>
    </w:p>
    <w:p w:rsidR="009B463A" w:rsidRPr="00D41CE2" w:rsidRDefault="00E90BC1" w:rsidP="009B463A">
      <w:pPr>
        <w:pStyle w:val="Arttitle"/>
        <w:rPr>
          <w:sz w:val="16"/>
          <w:szCs w:val="16"/>
        </w:rPr>
      </w:pPr>
      <w:bookmarkStart w:id="9" w:name="_Toc327956596"/>
      <w:r w:rsidRPr="00D41CE2">
        <w:t xml:space="preserve">Notification and recording of frequency </w:t>
      </w:r>
      <w:r w:rsidRPr="00D41CE2">
        <w:br/>
        <w:t>assignments</w:t>
      </w:r>
      <w:r>
        <w:rPr>
          <w:rStyle w:val="FootnoteReference"/>
        </w:rPr>
        <w:t>1</w:t>
      </w:r>
      <w:r w:rsidRPr="00835A36">
        <w:rPr>
          <w:rStyle w:val="FootnoteReference"/>
        </w:rPr>
        <w:t xml:space="preserve">, </w:t>
      </w:r>
      <w:r>
        <w:rPr>
          <w:rStyle w:val="FootnoteReference"/>
        </w:rPr>
        <w:t>2</w:t>
      </w:r>
      <w:r w:rsidRPr="00835A36">
        <w:rPr>
          <w:rStyle w:val="FootnoteReference"/>
        </w:rPr>
        <w:t xml:space="preserve">, </w:t>
      </w:r>
      <w:r>
        <w:rPr>
          <w:rStyle w:val="FootnoteReference"/>
        </w:rPr>
        <w:t>3</w:t>
      </w:r>
      <w:r w:rsidRPr="00835A36">
        <w:rPr>
          <w:rStyle w:val="FootnoteReference"/>
        </w:rPr>
        <w:t xml:space="preserve">, </w:t>
      </w:r>
      <w:r>
        <w:rPr>
          <w:rStyle w:val="FootnoteReference"/>
        </w:rPr>
        <w:t>4</w:t>
      </w:r>
      <w:r w:rsidRPr="00835A36">
        <w:rPr>
          <w:rStyle w:val="FootnoteReference"/>
        </w:rPr>
        <w:t xml:space="preserve">, </w:t>
      </w:r>
      <w:r>
        <w:rPr>
          <w:rStyle w:val="FootnoteReference"/>
        </w:rPr>
        <w:t>5</w:t>
      </w:r>
      <w:r w:rsidRPr="00835A36">
        <w:rPr>
          <w:rStyle w:val="FootnoteReference"/>
        </w:rPr>
        <w:t xml:space="preserve">, </w:t>
      </w:r>
      <w:r>
        <w:rPr>
          <w:rStyle w:val="FootnoteReference"/>
        </w:rPr>
        <w:t>6</w:t>
      </w:r>
      <w:r w:rsidRPr="00835A36">
        <w:rPr>
          <w:rStyle w:val="FootnoteReference"/>
        </w:rPr>
        <w:t xml:space="preserve">, </w:t>
      </w:r>
      <w:r>
        <w:rPr>
          <w:rStyle w:val="FootnoteReference"/>
        </w:rPr>
        <w:t>7</w:t>
      </w:r>
      <w:r w:rsidRPr="00835A36">
        <w:rPr>
          <w:rStyle w:val="FootnoteReference"/>
        </w:rPr>
        <w:t xml:space="preserve">, </w:t>
      </w:r>
      <w:r w:rsidRPr="004C21D9">
        <w:rPr>
          <w:rStyle w:val="FootnoteReference"/>
        </w:rPr>
        <w:t>7</w:t>
      </w:r>
      <w:r w:rsidRPr="004C21D9">
        <w:rPr>
          <w:rStyle w:val="FootnoteReference"/>
          <w:i/>
          <w:iCs/>
        </w:rPr>
        <w:t>bis</w:t>
      </w:r>
      <w:r w:rsidRPr="00577A24">
        <w:rPr>
          <w:b w:val="0"/>
          <w:bCs/>
          <w:sz w:val="16"/>
          <w:szCs w:val="16"/>
        </w:rPr>
        <w:t>   </w:t>
      </w:r>
      <w:r w:rsidRPr="003D1979">
        <w:rPr>
          <w:b w:val="0"/>
          <w:bCs/>
          <w:sz w:val="16"/>
          <w:szCs w:val="16"/>
        </w:rPr>
        <w:t> (WRC</w:t>
      </w:r>
      <w:r w:rsidRPr="003D1979">
        <w:rPr>
          <w:b w:val="0"/>
          <w:bCs/>
          <w:sz w:val="16"/>
          <w:szCs w:val="16"/>
        </w:rPr>
        <w:noBreakHyphen/>
        <w:t>12)</w:t>
      </w:r>
      <w:bookmarkEnd w:id="9"/>
    </w:p>
    <w:p w:rsidR="009B463A" w:rsidRDefault="00E90BC1" w:rsidP="009B463A">
      <w:pPr>
        <w:pStyle w:val="Section1"/>
        <w:keepNext/>
        <w:rPr>
          <w:lang w:val="en-US"/>
        </w:rPr>
      </w:pPr>
      <w:r>
        <w:rPr>
          <w:lang w:val="en-US"/>
        </w:rPr>
        <w:t xml:space="preserve">Section II − Examination of notices and recording of frequency assignments </w:t>
      </w:r>
      <w:r>
        <w:rPr>
          <w:lang w:val="en-US"/>
        </w:rPr>
        <w:br/>
        <w:t xml:space="preserve">in the </w:t>
      </w:r>
      <w:r w:rsidRPr="00200E6D">
        <w:t>Master</w:t>
      </w:r>
      <w:r>
        <w:rPr>
          <w:lang w:val="en-US"/>
        </w:rPr>
        <w:t xml:space="preserve"> Register</w:t>
      </w:r>
    </w:p>
    <w:p w:rsidR="00A166E3" w:rsidRDefault="00E90BC1">
      <w:pPr>
        <w:pStyle w:val="Proposal"/>
      </w:pPr>
      <w:r>
        <w:t>MOD</w:t>
      </w:r>
      <w:r>
        <w:tab/>
        <w:t>EUR/9A21A10/1</w:t>
      </w:r>
    </w:p>
    <w:p w:rsidR="009B463A" w:rsidRPr="00D41CE2" w:rsidRDefault="00E90BC1" w:rsidP="009B463A">
      <w:r w:rsidRPr="00A43AD5">
        <w:rPr>
          <w:rStyle w:val="Artdef"/>
        </w:rPr>
        <w:t>11.44B</w:t>
      </w:r>
      <w:r>
        <w:tab/>
      </w:r>
      <w:r w:rsidRPr="00D41CE2">
        <w:t>A frequency assignment to a space station in the geostationary-satellite orbit shall be considered as having been brought into use when a space station in the geostationary-satellite orbit with the capability of transmitting or receiving that frequency assignment has been deployed and maintained at the notified orbital position for a continuous period of ninety days. The notifying administration shall so inform the Bureau within thirty days from the end of the ninety-day period</w:t>
      </w:r>
      <w:ins w:id="10" w:author="CPG Secretary" w:date="2015-09-21T19:46:00Z">
        <w:r w:rsidRPr="00E90BC1">
          <w:rPr>
            <w:vertAlign w:val="superscript"/>
          </w:rPr>
          <w:t>21bis</w:t>
        </w:r>
      </w:ins>
      <w:r w:rsidRPr="00D41CE2">
        <w:t>.</w:t>
      </w:r>
      <w:r>
        <w:rPr>
          <w:sz w:val="16"/>
        </w:rPr>
        <w:t>    (WRC</w:t>
      </w:r>
      <w:r>
        <w:rPr>
          <w:sz w:val="16"/>
        </w:rPr>
        <w:noBreakHyphen/>
      </w:r>
      <w:ins w:id="11" w:author="CPG Secretary" w:date="2015-09-21T19:46:00Z">
        <w:r>
          <w:rPr>
            <w:sz w:val="16"/>
          </w:rPr>
          <w:t>15</w:t>
        </w:r>
      </w:ins>
      <w:del w:id="12" w:author="CPG Secretary" w:date="2015-09-21T19:46:00Z">
        <w:r w:rsidRPr="00D41CE2" w:rsidDel="00E90BC1">
          <w:rPr>
            <w:sz w:val="16"/>
          </w:rPr>
          <w:delText>12</w:delText>
        </w:r>
      </w:del>
      <w:r w:rsidRPr="00D41CE2">
        <w:rPr>
          <w:sz w:val="16"/>
        </w:rPr>
        <w:t>)</w:t>
      </w:r>
    </w:p>
    <w:p w:rsidR="00A166E3" w:rsidRDefault="00E90BC1">
      <w:pPr>
        <w:pStyle w:val="Reasons"/>
      </w:pPr>
      <w:r>
        <w:rPr>
          <w:b/>
        </w:rPr>
        <w:t>Reasons:</w:t>
      </w:r>
      <w:r>
        <w:tab/>
      </w:r>
    </w:p>
    <w:p w:rsidR="00A166E3" w:rsidRDefault="00E90BC1">
      <w:pPr>
        <w:pStyle w:val="Proposal"/>
      </w:pPr>
      <w:r>
        <w:t>ADD</w:t>
      </w:r>
      <w:r>
        <w:tab/>
        <w:t>EUR/9A21A10/2</w:t>
      </w:r>
    </w:p>
    <w:p w:rsidR="00A166E3" w:rsidRDefault="00E90BC1">
      <w:r w:rsidRPr="00E90BC1">
        <w:rPr>
          <w:rStyle w:val="Artdef"/>
          <w:vertAlign w:val="superscript"/>
        </w:rPr>
        <w:t>21bis</w:t>
      </w:r>
      <w:r>
        <w:rPr>
          <w:rStyle w:val="Artdef"/>
        </w:rPr>
        <w:t xml:space="preserve">     11.44B.1</w:t>
      </w:r>
      <w:r>
        <w:tab/>
      </w:r>
      <w:r w:rsidRPr="00921381">
        <w:t>A frequency assignment to a space station in the geostationary-satellite orbit with a notified date of bringing into use more than 120 days prior to the date of receipt of the notification information shall also be considered as having been brought into use if the notifying administration confirms, when submitting the notification information for this assignment, that a space station in the geostationary-satellite orbit with the capability of transmitting or receiving that frequency assignment has been deployed and maintained for a continuous period of time from the notified date of bringing into use until the date of receipt of the notification information for this frequency assignment.</w:t>
      </w:r>
    </w:p>
    <w:p w:rsidR="00A166E3" w:rsidRDefault="00A166E3">
      <w:pPr>
        <w:pStyle w:val="Reasons"/>
      </w:pPr>
      <w:bookmarkStart w:id="13" w:name="_GoBack"/>
      <w:bookmarkEnd w:id="13"/>
    </w:p>
    <w:sectPr w:rsidR="00A166E3">
      <w:headerReference w:type="default" r:id="rId14"/>
      <w:footerReference w:type="even" r:id="rId15"/>
      <w:footerReference w:type="default" r:id="rId16"/>
      <w:footerReference w:type="first" r:id="rId17"/>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0AF" w:rsidRDefault="00D020AF">
      <w:r>
        <w:separator/>
      </w:r>
    </w:p>
  </w:endnote>
  <w:endnote w:type="continuationSeparator" w:id="0">
    <w:p w:rsidR="00D020AF" w:rsidRDefault="00D0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756898">
      <w:rPr>
        <w:noProof/>
      </w:rPr>
      <w:t>21.09.15</w:t>
    </w:r>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756898">
      <w:t>21.09.15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756898">
      <w:t>21.09.15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0AF" w:rsidRDefault="00D020AF">
      <w:r>
        <w:rPr>
          <w:b/>
        </w:rPr>
        <w:t>_______________</w:t>
      </w:r>
    </w:p>
  </w:footnote>
  <w:footnote w:type="continuationSeparator" w:id="0">
    <w:p w:rsidR="00D020AF" w:rsidRDefault="00D02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786E08">
      <w:rPr>
        <w:noProof/>
      </w:rPr>
      <w:t>2</w:t>
    </w:r>
    <w:r>
      <w:fldChar w:fldCharType="end"/>
    </w:r>
  </w:p>
  <w:p w:rsidR="00A066F1" w:rsidRPr="00A066F1" w:rsidRDefault="00187BD9" w:rsidP="00241FA2">
    <w:pPr>
      <w:pStyle w:val="Header"/>
    </w:pPr>
    <w:r>
      <w:t>CMR1</w:t>
    </w:r>
    <w:r w:rsidR="00241FA2">
      <w:t>5</w:t>
    </w:r>
    <w:r w:rsidR="00A066F1">
      <w:t>/</w:t>
    </w:r>
    <w:bookmarkStart w:id="14" w:name="OLE_LINK1"/>
    <w:bookmarkStart w:id="15" w:name="OLE_LINK2"/>
    <w:bookmarkStart w:id="16" w:name="OLE_LINK3"/>
    <w:bookmarkEnd w:id="14"/>
    <w:bookmarkEnd w:id="15"/>
    <w:bookmarkEnd w:id="16"/>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59D5"/>
    <w:rsid w:val="00077239"/>
    <w:rsid w:val="00086491"/>
    <w:rsid w:val="00091346"/>
    <w:rsid w:val="0009706C"/>
    <w:rsid w:val="000D154B"/>
    <w:rsid w:val="000F73FF"/>
    <w:rsid w:val="00114CF7"/>
    <w:rsid w:val="00123B68"/>
    <w:rsid w:val="00126F2E"/>
    <w:rsid w:val="00146F6F"/>
    <w:rsid w:val="00187BD9"/>
    <w:rsid w:val="00190B55"/>
    <w:rsid w:val="001C3B5F"/>
    <w:rsid w:val="001D058F"/>
    <w:rsid w:val="002009EA"/>
    <w:rsid w:val="00202CA0"/>
    <w:rsid w:val="00216B6D"/>
    <w:rsid w:val="00241FA2"/>
    <w:rsid w:val="00271316"/>
    <w:rsid w:val="002B349C"/>
    <w:rsid w:val="002D58BE"/>
    <w:rsid w:val="00361B37"/>
    <w:rsid w:val="00377BD3"/>
    <w:rsid w:val="00384088"/>
    <w:rsid w:val="003852CE"/>
    <w:rsid w:val="0039169B"/>
    <w:rsid w:val="003A7F8C"/>
    <w:rsid w:val="003B2284"/>
    <w:rsid w:val="003B532E"/>
    <w:rsid w:val="003D0F8B"/>
    <w:rsid w:val="003D2BFE"/>
    <w:rsid w:val="003E0DB6"/>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7C2A"/>
    <w:rsid w:val="006C23DA"/>
    <w:rsid w:val="006E3D45"/>
    <w:rsid w:val="007149F9"/>
    <w:rsid w:val="00733A30"/>
    <w:rsid w:val="00745AEE"/>
    <w:rsid w:val="00750F10"/>
    <w:rsid w:val="00756898"/>
    <w:rsid w:val="007742CA"/>
    <w:rsid w:val="00786E08"/>
    <w:rsid w:val="00790D70"/>
    <w:rsid w:val="007A6F1F"/>
    <w:rsid w:val="007D5320"/>
    <w:rsid w:val="00800972"/>
    <w:rsid w:val="00804475"/>
    <w:rsid w:val="00811633"/>
    <w:rsid w:val="00841216"/>
    <w:rsid w:val="00872FC8"/>
    <w:rsid w:val="008845D0"/>
    <w:rsid w:val="00884D60"/>
    <w:rsid w:val="008B43F2"/>
    <w:rsid w:val="008B6CFF"/>
    <w:rsid w:val="009274B4"/>
    <w:rsid w:val="00934EA2"/>
    <w:rsid w:val="00944A5C"/>
    <w:rsid w:val="00952A66"/>
    <w:rsid w:val="009B7C9A"/>
    <w:rsid w:val="009C56E5"/>
    <w:rsid w:val="009E5FC8"/>
    <w:rsid w:val="009E687A"/>
    <w:rsid w:val="00A066F1"/>
    <w:rsid w:val="00A141AF"/>
    <w:rsid w:val="00A166E3"/>
    <w:rsid w:val="00A16D29"/>
    <w:rsid w:val="00A30305"/>
    <w:rsid w:val="00A31D2D"/>
    <w:rsid w:val="00A4600A"/>
    <w:rsid w:val="00A538A6"/>
    <w:rsid w:val="00A54C25"/>
    <w:rsid w:val="00A62E80"/>
    <w:rsid w:val="00A710E7"/>
    <w:rsid w:val="00A7372E"/>
    <w:rsid w:val="00A93B85"/>
    <w:rsid w:val="00AA0B18"/>
    <w:rsid w:val="00AA3C65"/>
    <w:rsid w:val="00AA666F"/>
    <w:rsid w:val="00B639E9"/>
    <w:rsid w:val="00B817CD"/>
    <w:rsid w:val="00B81A7D"/>
    <w:rsid w:val="00B94AD0"/>
    <w:rsid w:val="00BB3A95"/>
    <w:rsid w:val="00BD6CCE"/>
    <w:rsid w:val="00C0018F"/>
    <w:rsid w:val="00C16A5A"/>
    <w:rsid w:val="00C20466"/>
    <w:rsid w:val="00C214ED"/>
    <w:rsid w:val="00C234E6"/>
    <w:rsid w:val="00C324A8"/>
    <w:rsid w:val="00C54517"/>
    <w:rsid w:val="00C64CD8"/>
    <w:rsid w:val="00C97C68"/>
    <w:rsid w:val="00CA1A47"/>
    <w:rsid w:val="00CB44E5"/>
    <w:rsid w:val="00CC247A"/>
    <w:rsid w:val="00CE388F"/>
    <w:rsid w:val="00CE5E47"/>
    <w:rsid w:val="00CF020F"/>
    <w:rsid w:val="00CF2B5B"/>
    <w:rsid w:val="00D020AF"/>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45D05"/>
    <w:rsid w:val="00E55816"/>
    <w:rsid w:val="00E55AEF"/>
    <w:rsid w:val="00E90BC1"/>
    <w:rsid w:val="00E976C1"/>
    <w:rsid w:val="00EA12E5"/>
    <w:rsid w:val="00EB55C6"/>
    <w:rsid w:val="00EF1932"/>
    <w:rsid w:val="00F02766"/>
    <w:rsid w:val="00F05BD4"/>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paragraph" w:styleId="BalloonText">
    <w:name w:val="Balloon Text"/>
    <w:basedOn w:val="Normal"/>
    <w:link w:val="BalloonTextChar"/>
    <w:semiHidden/>
    <w:unhideWhenUsed/>
    <w:rsid w:val="000759D5"/>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759D5"/>
    <w:rPr>
      <w:rFonts w:ascii="Tahoma" w:hAnsi="Tahoma" w:cs="Tahoma"/>
      <w:sz w:val="16"/>
      <w:szCs w:val="16"/>
      <w:lang w:val="en-GB" w:eastAsia="en-US"/>
    </w:rPr>
  </w:style>
  <w:style w:type="paragraph" w:customStyle="1" w:styleId="headingb0">
    <w:name w:val="heading_b"/>
    <w:basedOn w:val="Heading3"/>
    <w:next w:val="Normal"/>
    <w:rsid w:val="00E90BC1"/>
    <w:pPr>
      <w:tabs>
        <w:tab w:val="left" w:pos="567"/>
        <w:tab w:val="left" w:pos="1701"/>
        <w:tab w:val="left" w:pos="2835"/>
      </w:tabs>
      <w:spacing w:before="160"/>
      <w:ind w:left="0" w:firstLine="0"/>
      <w:outlineLvl w:val="9"/>
    </w:pPr>
    <w:rPr>
      <w:bCs/>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paragraph" w:styleId="BalloonText">
    <w:name w:val="Balloon Text"/>
    <w:basedOn w:val="Normal"/>
    <w:link w:val="BalloonTextChar"/>
    <w:semiHidden/>
    <w:unhideWhenUsed/>
    <w:rsid w:val="000759D5"/>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759D5"/>
    <w:rPr>
      <w:rFonts w:ascii="Tahoma" w:hAnsi="Tahoma" w:cs="Tahoma"/>
      <w:sz w:val="16"/>
      <w:szCs w:val="16"/>
      <w:lang w:val="en-GB" w:eastAsia="en-US"/>
    </w:rPr>
  </w:style>
  <w:style w:type="paragraph" w:customStyle="1" w:styleId="headingb0">
    <w:name w:val="heading_b"/>
    <w:basedOn w:val="Heading3"/>
    <w:next w:val="Normal"/>
    <w:rsid w:val="00E90BC1"/>
    <w:pPr>
      <w:tabs>
        <w:tab w:val="left" w:pos="567"/>
        <w:tab w:val="left" w:pos="1701"/>
        <w:tab w:val="left" w:pos="2835"/>
      </w:tabs>
      <w:spacing w:before="160"/>
      <w:ind w:left="0" w:firstLine="0"/>
      <w:outlineLvl w:val="9"/>
    </w:pPr>
    <w:rPr>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WRC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R15-WRC15-C-5415!A21-A10!MSW-E</DPM_x0020_File_x0020_name>
    <DPM_x0020_Author xmlns="32a1a8c5-2265-4ebc-b7a0-2071e2c5c9bb" xsi:nil="false">Conference Proposals Interface (CPI)</DPM_x0020_Author>
    <DPM_x0020_Version xmlns="32a1a8c5-2265-4ebc-b7a0-2071e2c5c9bb" xsi:nil="false">CPI_5.2015.9.11</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2.xml><?xml version="1.0" encoding="utf-8"?>
<ds:datastoreItem xmlns:ds="http://schemas.openxmlformats.org/officeDocument/2006/customXml" ds:itemID="{D6C413AD-D516-43CA-92C3-103FA33BB9A2}">
  <ds:schemaRefs>
    <ds:schemaRef ds:uri="http://schemas.microsoft.com/office/2006/metadata/properties"/>
    <ds:schemaRef ds:uri="http://schemas.microsoft.com/office/infopath/2007/PartnerControls"/>
    <ds:schemaRef ds:uri="32a1a8c5-2265-4ebc-b7a0-2071e2c5c9bb"/>
    <ds:schemaRef ds:uri="996b2e75-67fd-4955-a3b0-5ab9934cb50b"/>
  </ds:schemaRefs>
</ds:datastoreItem>
</file>

<file path=customXml/itemProps3.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498D2E-2ECE-4083-B858-50D86CAE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PE_WRC15</Template>
  <TotalTime>10</TotalTime>
  <Pages>2</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R15-WRC15-C-5415!A21-A10!MSW-E</vt:lpstr>
      <vt:lpstr>R15-WRC15-C-5415!A21-A10!MSW-E</vt:lpstr>
    </vt:vector>
  </TitlesOfParts>
  <Manager>General Secretariat - Pool</Manager>
  <Company>International Telecommunication Union (ITU)</Company>
  <LinksUpToDate>false</LinksUpToDate>
  <CharactersWithSpaces>4262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R15-WRC15-C-5415!A21-A10!MSW-E</dc:title>
  <dc:subject>World Radiocommunication Conference - 2015</dc:subject>
  <dc:creator>Conference Proposals Interface (CPI)</dc:creator>
  <cp:keywords>CPI_5.2015.9.11</cp:keywords>
  <dc:description>Uploaded on 2015.07.06</dc:description>
  <cp:lastModifiedBy>Anna Marklund</cp:lastModifiedBy>
  <cp:revision>4</cp:revision>
  <cp:lastPrinted>2014-02-10T09:49:00Z</cp:lastPrinted>
  <dcterms:created xsi:type="dcterms:W3CDTF">2015-09-23T10:04:00Z</dcterms:created>
  <dcterms:modified xsi:type="dcterms:W3CDTF">2015-09-23T11:05:00Z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